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widowControl/>
        <w:numPr>
          <w:ilvl w:val="0"/>
          <w:numId w:val="1"/>
        </w:numPr>
        <w:ind w:left="0" w:firstLine="709"/>
      </w:pPr>
      <w:r>
        <w:rPr>
          <w:b/>
        </w:rPr>
        <w:t xml:space="preserve">Минстрой России: в МКД, не </w:t>
      </w:r>
      <w:proofErr w:type="gramStart"/>
      <w:r>
        <w:rPr>
          <w:b/>
        </w:rPr>
        <w:t>оборудованном</w:t>
      </w:r>
      <w:proofErr w:type="gramEnd"/>
      <w:r>
        <w:rPr>
          <w:b/>
        </w:rPr>
        <w:t xml:space="preserve"> коллективным (</w:t>
      </w:r>
      <w:proofErr w:type="spellStart"/>
      <w:r>
        <w:rPr>
          <w:b/>
        </w:rPr>
        <w:t>общедомовым</w:t>
      </w:r>
      <w:proofErr w:type="spellEnd"/>
      <w:r>
        <w:rPr>
          <w:b/>
        </w:rPr>
        <w:t xml:space="preserve">) прибором учета, коммунальные ресурсы, </w:t>
      </w:r>
      <w:r>
        <w:rPr>
          <w:b/>
        </w:rPr>
        <w:t>потребляемые при промывке систем отопления, отдельно собственниками помещений не оплачиваются</w:t>
      </w:r>
      <w:r>
        <w:br/>
      </w:r>
    </w:p>
    <w:p w:rsidR="00541DBB" w:rsidRDefault="00F17DD1">
      <w:pPr>
        <w:ind w:firstLine="709"/>
      </w:pPr>
      <w:r>
        <w:t>Ведомство сообщает: поскольку промывка систем отопления входит в минимальный перечень услуг и работ, необходимых для обеспечения надлежащего содержания общего им</w:t>
      </w:r>
      <w:r>
        <w:t xml:space="preserve">ущества в многоквартирном доме, объем коммунальных ресурсов, потребляемых при выполнении данной работы, включен в норматив потребления коммунальных ресурсов в целях содержания общего имущества. </w:t>
      </w:r>
      <w:proofErr w:type="gramStart"/>
      <w:r>
        <w:t xml:space="preserve">Плата за указанные коммунальные ресурсы входит в состав платы </w:t>
      </w:r>
      <w:r>
        <w:t xml:space="preserve">за коммунальные ресурсы, потребляемые при использовании и содержании общего имущества, размер которой зависит от установленных органами государственной власти субъектов РФ, уполномоченными в порядке, предусмотренном нормативными правовыми актами субъектов </w:t>
      </w:r>
      <w:r>
        <w:t>РФ, нормативов потребления коммунальных ресурсов в целях содержания общего имущества в МКД.</w:t>
      </w:r>
      <w:proofErr w:type="gramEnd"/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</w:t>
      </w:r>
      <w:r>
        <w:t xml:space="preserve">Минстроя России от 22.06.2026 N 37621-ДН/04 </w:t>
      </w:r>
      <w:r>
        <w:br/>
        <w:t>«О содержании общего имущества в многоквартирном доме».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541DBB">
      <w:pPr>
        <w:ind w:firstLine="709"/>
        <w:rPr>
          <w:rFonts w:ascii="Times New Roman" w:hAnsi="Times New Roman"/>
          <w:b/>
        </w:rPr>
      </w:pPr>
    </w:p>
    <w:p w:rsidR="00541DBB" w:rsidRDefault="00F17DD1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Минстроем даны разъяснения по некоторым вопроса</w:t>
      </w:r>
      <w:r>
        <w:rPr>
          <w:rFonts w:ascii="Times New Roman" w:hAnsi="Times New Roman"/>
          <w:b/>
        </w:rPr>
        <w:t>м, касающимся установления размера платы за содержание жилого помещения, а также его изменения, в том числе на величину НДС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числе прочего отмечено, что в случае, когда муниципальный тариф установлен без учета НДС (с указанием на его дополнительное начис</w:t>
      </w:r>
      <w:r>
        <w:rPr>
          <w:rFonts w:ascii="Times New Roman" w:hAnsi="Times New Roman"/>
        </w:rPr>
        <w:t xml:space="preserve">ление), управляющая компания увеличивает утвержденный размер платы на сумму налога. Если в нормативном акте НДС не упоминается, применяется муниципальный тариф, а налог включается в его структуру, т.е. итоговый размер платы должен быть равен утвержденному </w:t>
      </w:r>
      <w:r>
        <w:rPr>
          <w:rFonts w:ascii="Times New Roman" w:hAnsi="Times New Roman"/>
        </w:rPr>
        <w:t>муниципалитетом.</w:t>
      </w:r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Порядок определения размера платы за содержание жилого помещения относится к существенным условиям договора управления МКД (п. 3 ч. 3 ст. 162 ЖК РФ). Если в доме не создано ТСЖ или кооператив, данный размер платы утверждается решением обще</w:t>
      </w:r>
      <w:r>
        <w:rPr>
          <w:rFonts w:ascii="Times New Roman" w:hAnsi="Times New Roman"/>
        </w:rPr>
        <w:t>го собрания собственников.</w:t>
      </w:r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Изменение размера платы в одностороннем порядке, в том числе увеличение такого размера платы в связи с возникновением обязанности управляющей компании оплачивать НДС, законом не предусмотрено.</w:t>
      </w:r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Основание: Письмо Минстроя России от</w:t>
      </w:r>
      <w:r>
        <w:rPr>
          <w:rFonts w:ascii="Times New Roman" w:hAnsi="Times New Roman"/>
        </w:rPr>
        <w:t xml:space="preserve"> 23.06.2026 N 37897-ДН/04 </w:t>
      </w:r>
      <w:r>
        <w:rPr>
          <w:rFonts w:ascii="Times New Roman" w:hAnsi="Times New Roman"/>
        </w:rPr>
        <w:br/>
        <w:t>«О размере платы за содержание жилого помещения»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Внесены изменения в налоговую декларацию по налогу на доходы физических лиц (форма 3-НДФЛ)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В новой редакции изложены приложение 5 "Расчет стандартных, социальных, инвестиционн</w:t>
      </w:r>
      <w:r>
        <w:rPr>
          <w:rFonts w:ascii="Times New Roman" w:hAnsi="Times New Roman"/>
        </w:rPr>
        <w:t>ых налоговых вычетов, а также налоговых вычетов на долгосрочные сбережения граждан" и формат налоговой декларации.</w:t>
      </w:r>
      <w:proofErr w:type="gramEnd"/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Внесены уточнения в порядок заполнения налоговой декларации и скорректированы </w:t>
      </w:r>
      <w:proofErr w:type="spellStart"/>
      <w:proofErr w:type="gramStart"/>
      <w:r>
        <w:rPr>
          <w:rFonts w:ascii="Times New Roman" w:hAnsi="Times New Roman"/>
        </w:rPr>
        <w:t>штрих-коды</w:t>
      </w:r>
      <w:proofErr w:type="spellEnd"/>
      <w:proofErr w:type="gramEnd"/>
      <w:r>
        <w:rPr>
          <w:rFonts w:ascii="Times New Roman" w:hAnsi="Times New Roman"/>
        </w:rPr>
        <w:t xml:space="preserve"> листов.</w:t>
      </w:r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Приказ вступает в силу с 01.09.2026 и распро</w:t>
      </w:r>
      <w:r>
        <w:rPr>
          <w:rFonts w:ascii="Times New Roman" w:hAnsi="Times New Roman"/>
        </w:rPr>
        <w:t xml:space="preserve">страняется на правоотношения по предоставлению налогового вычета, предусмотренного подпунктом 2 пункта 1 статьи 219.2 НК РФ, за налоговые </w:t>
      </w:r>
      <w:proofErr w:type="gramStart"/>
      <w:r>
        <w:rPr>
          <w:rFonts w:ascii="Times New Roman" w:hAnsi="Times New Roman"/>
        </w:rPr>
        <w:t>периоды</w:t>
      </w:r>
      <w:proofErr w:type="gramEnd"/>
      <w:r>
        <w:rPr>
          <w:rFonts w:ascii="Times New Roman" w:hAnsi="Times New Roman"/>
        </w:rPr>
        <w:t xml:space="preserve"> начиная с 2025 года.</w:t>
      </w:r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Основание: Приказ Ф</w:t>
      </w:r>
      <w:r>
        <w:rPr>
          <w:rFonts w:ascii="Times New Roman" w:hAnsi="Times New Roman"/>
        </w:rPr>
        <w:t>НС России от 25.05.2026 N ЕД-1-11/333 "О внесении изменений в приложен</w:t>
      </w:r>
      <w:r>
        <w:rPr>
          <w:rFonts w:ascii="Times New Roman" w:hAnsi="Times New Roman"/>
        </w:rPr>
        <w:t>ия к приказу ФНС России от 20.10.2025 N ЕД-7-11/913".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>
        <w:rPr>
          <w:b/>
        </w:rPr>
        <w:t xml:space="preserve">Разработаны методические рекомендации по вопросу сопровождения детей с </w:t>
      </w:r>
      <w:proofErr w:type="spellStart"/>
      <w:r>
        <w:rPr>
          <w:b/>
        </w:rPr>
        <w:t>девиантным</w:t>
      </w:r>
      <w:proofErr w:type="spellEnd"/>
      <w:r>
        <w:rPr>
          <w:b/>
        </w:rPr>
        <w:t xml:space="preserve"> поведением, направляемых в организации отдыха детей и их оздоровления, их социализации, проведения с ними дополнител</w:t>
      </w:r>
      <w:r>
        <w:rPr>
          <w:b/>
        </w:rPr>
        <w:t>ьной воспитательной работы</w:t>
      </w:r>
    </w:p>
    <w:p w:rsidR="00541DBB" w:rsidRDefault="00541DBB">
      <w:pPr>
        <w:ind w:firstLine="709"/>
        <w:rPr>
          <w:rFonts w:ascii="Times New Roman" w:hAnsi="Times New Roman"/>
          <w:b/>
        </w:rPr>
      </w:pPr>
    </w:p>
    <w:p w:rsidR="00541DBB" w:rsidRDefault="00F17DD1">
      <w:pPr>
        <w:ind w:firstLine="709"/>
      </w:pPr>
      <w:proofErr w:type="gramStart"/>
      <w:r>
        <w:t xml:space="preserve">В методических рекомендациях содержатся основные виды </w:t>
      </w:r>
      <w:proofErr w:type="spellStart"/>
      <w:r>
        <w:t>девиантного</w:t>
      </w:r>
      <w:proofErr w:type="spellEnd"/>
      <w:r>
        <w:t xml:space="preserve"> поведения несовершеннолетних, общие подходы к сопровождению детей с </w:t>
      </w:r>
      <w:proofErr w:type="spellStart"/>
      <w:r>
        <w:t>девиантным</w:t>
      </w:r>
      <w:proofErr w:type="spellEnd"/>
      <w:r>
        <w:t xml:space="preserve"> поведением, их социализации, проведению с ними дополнительной воспитательной работы</w:t>
      </w:r>
      <w:r>
        <w:t xml:space="preserve"> в период организации отдыха и оздоровления и дифференцированный подход к организации программ отдыха и оздоровления с участием детей с </w:t>
      </w:r>
      <w:proofErr w:type="spellStart"/>
      <w:r>
        <w:t>девиантным</w:t>
      </w:r>
      <w:proofErr w:type="spellEnd"/>
      <w:r>
        <w:t xml:space="preserve"> поведением, а также особенности психолого-педагогического сопровождения и социально-педагогической поддержки </w:t>
      </w:r>
      <w:r>
        <w:t>детей при организации их отдыха и</w:t>
      </w:r>
      <w:proofErr w:type="gramEnd"/>
      <w:r>
        <w:t xml:space="preserve"> оздоровления и использования восстановительных и медиативных технологий при сопровождении детей в рамках отдыха и их оздоровления.</w:t>
      </w:r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Приказ </w:t>
      </w:r>
      <w:proofErr w:type="spellStart"/>
      <w:r>
        <w:t>Минпросвещения</w:t>
      </w:r>
      <w:proofErr w:type="spellEnd"/>
      <w:r>
        <w:t xml:space="preserve"> России от 10.06.2026 N АБ-2218/07"О направлении методическ</w:t>
      </w:r>
      <w:r>
        <w:t>их рекомендаций".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 </w:t>
      </w:r>
      <w:r>
        <w:rPr>
          <w:b/>
        </w:rPr>
        <w:t>Даны разъяснения по вопросам применения положений Федерального закона от 23 июля 2025 г. N 253-ФЗ, которым устанавливаются новые правила проведения государственной итоговой аттестации в колледжах и техникумах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ind w:firstLine="709"/>
      </w:pPr>
      <w:r>
        <w:t xml:space="preserve">В соответствии с </w:t>
      </w:r>
      <w:r>
        <w:t>положениями Федерального закона N 253-ФЗ ГИА по образовательным программам СПО проводится в форме демонстрационного экзамена, за исключением некоторых программ СПО, по которым ГИА может проводиться в иных формах. Представлены перечни профессий и специально</w:t>
      </w:r>
      <w:r>
        <w:t>стей среднего медицинского образования или среднего фармацевтического образования, а также среднего профессионального образования в области искусства, по которым ГИА проводится в иных формах (не в форме демонстрационного экзамена).</w:t>
      </w:r>
    </w:p>
    <w:p w:rsidR="00541DBB" w:rsidRDefault="00F17DD1">
      <w:pPr>
        <w:ind w:firstLine="709"/>
      </w:pPr>
      <w:r>
        <w:t>Также в письме сообщаетс</w:t>
      </w:r>
      <w:r>
        <w:t xml:space="preserve">я, в частности, о требованиях к структуре и содержанию контрольных измерительных материалов (далее - КИМ) в разрезе демонстрационного экзамена базового и профильного уровней, о порядке </w:t>
      </w:r>
      <w:r>
        <w:lastRenderedPageBreak/>
        <w:t>утверждения состава государственной экзаменационной комиссии и формиров</w:t>
      </w:r>
      <w:r>
        <w:t>ания экспертных групп.</w:t>
      </w:r>
    </w:p>
    <w:p w:rsidR="00541DBB" w:rsidRDefault="00F17DD1">
      <w:pPr>
        <w:ind w:firstLine="709"/>
      </w:pPr>
      <w:r>
        <w:t>Отмечено, что победители и призеры финала чемпионата "Профессионалы", чемпионата высоких технологий, победители чемпионата "</w:t>
      </w:r>
      <w:proofErr w:type="spellStart"/>
      <w:r>
        <w:t>Абилимпикс</w:t>
      </w:r>
      <w:proofErr w:type="spellEnd"/>
      <w:r>
        <w:t>", победители и призеры чемпионата "</w:t>
      </w:r>
      <w:proofErr w:type="spellStart"/>
      <w:r>
        <w:t>АртМастерс</w:t>
      </w:r>
      <w:proofErr w:type="spellEnd"/>
      <w:r>
        <w:t xml:space="preserve"> (Мастера Искусств)" автоматически получают "отлично"</w:t>
      </w:r>
      <w:r>
        <w:t xml:space="preserve"> за демонстрационный экзамен.</w:t>
      </w:r>
    </w:p>
    <w:p w:rsidR="00541DBB" w:rsidRDefault="00F17DD1">
      <w:pPr>
        <w:ind w:firstLine="709"/>
      </w:pPr>
      <w:proofErr w:type="spellStart"/>
      <w:r>
        <w:t>Минпросвещения</w:t>
      </w:r>
      <w:proofErr w:type="spellEnd"/>
      <w:r>
        <w:t xml:space="preserve"> обращает внимание на то, что разрабатываемые в 2026 году спецификации КИМ для проведения демонстрационного экзамена публикуются оператором в сети "Интернет" в срок не позднее 1 октября 2026 года и могут применят</w:t>
      </w:r>
      <w:r>
        <w:t>ься для проведения демонстрационного экзамена только с 1 января 2027 года.</w:t>
      </w:r>
    </w:p>
    <w:p w:rsidR="00541DBB" w:rsidRDefault="00F17DD1">
      <w:pPr>
        <w:ind w:firstLine="709"/>
      </w:pPr>
      <w:r>
        <w:rPr>
          <w:rFonts w:ascii="Times New Roman" w:hAnsi="Times New Roman"/>
        </w:rPr>
        <w:t xml:space="preserve">Основание: Письмо </w:t>
      </w:r>
      <w:proofErr w:type="spellStart"/>
      <w:r>
        <w:t>Минпросвещения</w:t>
      </w:r>
      <w:proofErr w:type="spellEnd"/>
      <w:r>
        <w:t xml:space="preserve"> России от 22.06.2026 N 05-1619"О направлении информационного письма".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 </w:t>
      </w:r>
      <w:r>
        <w:rPr>
          <w:b/>
        </w:rPr>
        <w:t>Утверждена типовая дополнительная профессиональная программа повышения ква</w:t>
      </w:r>
      <w:r>
        <w:rPr>
          <w:b/>
        </w:rPr>
        <w:t>лификации специалистов со средним медицинским образованием по специальности "Фармация"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ind w:firstLine="709"/>
      </w:pPr>
      <w:r>
        <w:t>Целью программы является совершенствование компетенций, необходимых для осуществления профессиональной деятельности по специальности "Фармация" (область профессионально</w:t>
      </w:r>
      <w:r>
        <w:t>й деятельности - 02 Здравоохранение, уровень квалификации - 5 уровень).</w:t>
      </w:r>
    </w:p>
    <w:p w:rsidR="00541DBB" w:rsidRDefault="00F17DD1">
      <w:pPr>
        <w:ind w:firstLine="709"/>
      </w:pPr>
      <w:r>
        <w:t xml:space="preserve">Определены форма </w:t>
      </w:r>
      <w:proofErr w:type="gramStart"/>
      <w:r>
        <w:t>обучения по программе</w:t>
      </w:r>
      <w:proofErr w:type="gramEnd"/>
      <w:r>
        <w:t>, срок ее освоения, планируемые результаты обучения, формы аттестации, организационно-педагогические условия реализации программы и пр.</w:t>
      </w:r>
    </w:p>
    <w:p w:rsidR="00541DBB" w:rsidRDefault="00F17DD1">
      <w:pPr>
        <w:ind w:firstLine="709"/>
      </w:pPr>
      <w:r>
        <w:rPr>
          <w:rFonts w:ascii="Times New Roman" w:hAnsi="Times New Roman"/>
        </w:rPr>
        <w:t>Основание:</w:t>
      </w:r>
      <w:r>
        <w:rPr>
          <w:rFonts w:ascii="Times New Roman" w:hAnsi="Times New Roman"/>
        </w:rPr>
        <w:t xml:space="preserve"> Приказ </w:t>
      </w:r>
      <w:r>
        <w:t>Минздрава России от 18.05.2026 N 456н</w:t>
      </w:r>
      <w:proofErr w:type="gramStart"/>
      <w:r>
        <w:t>"О</w:t>
      </w:r>
      <w:proofErr w:type="gramEnd"/>
      <w:r>
        <w:t>б утверждении типовой дополнительной профессиональной программы повышения квалификации по специальности "Фармация" для лиц, получающих или имеющих среднее профессиональное образование".</w:t>
      </w:r>
    </w:p>
    <w:p w:rsidR="00541DBB" w:rsidRDefault="00541DBB">
      <w:pPr>
        <w:ind w:firstLine="709"/>
      </w:pPr>
    </w:p>
    <w:p w:rsidR="00541DBB" w:rsidRDefault="00F17DD1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</w:t>
      </w:r>
      <w:r>
        <w:rPr>
          <w:b/>
        </w:rPr>
        <w:t xml:space="preserve">Опубликован паспорт </w:t>
      </w:r>
      <w:r>
        <w:rPr>
          <w:b/>
        </w:rPr>
        <w:t xml:space="preserve">федерального проекта "Разработка важнейших наукоемких технологий и опережающая </w:t>
      </w:r>
      <w:proofErr w:type="gramStart"/>
      <w:r>
        <w:rPr>
          <w:b/>
        </w:rPr>
        <w:t>подготовка</w:t>
      </w:r>
      <w:proofErr w:type="gramEnd"/>
      <w:r>
        <w:rPr>
          <w:b/>
        </w:rPr>
        <w:t xml:space="preserve"> и переподготовка квалифицированных кадров по направлению транспортной мобильности"</w:t>
      </w:r>
    </w:p>
    <w:p w:rsidR="00541DBB" w:rsidRDefault="00541DBB">
      <w:pPr>
        <w:ind w:firstLine="709"/>
        <w:rPr>
          <w:rFonts w:ascii="Times New Roman" w:hAnsi="Times New Roman"/>
          <w:b/>
        </w:rPr>
      </w:pPr>
    </w:p>
    <w:p w:rsidR="00541DBB" w:rsidRDefault="00F17DD1">
      <w:pPr>
        <w:ind w:firstLine="709"/>
      </w:pPr>
      <w:r>
        <w:t>Проект направлен на обеспечение авиа-, судостроения и транспортной отрасли высокок</w:t>
      </w:r>
      <w:r>
        <w:t>валифицированными кадрами со средним профессиональным и высшим образованием, а также разработки критических транспортных технологий для различных сфер применения (море, земля, воздух), в том числе автономных и беспилотных систем.</w:t>
      </w:r>
    </w:p>
    <w:p w:rsidR="00541DBB" w:rsidRDefault="00F17DD1">
      <w:pPr>
        <w:ind w:firstLine="709"/>
      </w:pPr>
      <w:r>
        <w:t>Определены показатели прое</w:t>
      </w:r>
      <w:r>
        <w:t>кта, перечень мероприятий для его реализации, порядок финансового обеспечения.</w:t>
      </w:r>
    </w:p>
    <w:p w:rsidR="00541DBB" w:rsidRDefault="00F17DD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Паспорт </w:t>
      </w:r>
      <w:r>
        <w:t xml:space="preserve">федерального проекта "Разработка важнейших наукоемких технологий и опережающая </w:t>
      </w:r>
      <w:proofErr w:type="gramStart"/>
      <w:r>
        <w:t>подготовка</w:t>
      </w:r>
      <w:proofErr w:type="gramEnd"/>
      <w:r>
        <w:t xml:space="preserve"> и переподготовка квалифицированных кадров по направлению транспортно</w:t>
      </w:r>
      <w:r>
        <w:t>й мобильности"</w:t>
      </w:r>
      <w:r>
        <w:rPr>
          <w:rFonts w:ascii="Times New Roman" w:hAnsi="Times New Roman"/>
        </w:rPr>
        <w:t>.</w:t>
      </w:r>
    </w:p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F17DD1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8. </w:t>
      </w:r>
      <w:r>
        <w:rPr>
          <w:b/>
        </w:rPr>
        <w:t>Госдума приняла закон о механизме жилищных вкладов граждан</w:t>
      </w:r>
    </w:p>
    <w:p w:rsidR="00541DBB" w:rsidRDefault="00541DBB">
      <w:pPr>
        <w:ind w:firstLine="709"/>
        <w:rPr>
          <w:rFonts w:ascii="Times New Roman" w:hAnsi="Times New Roman"/>
          <w:b/>
        </w:rPr>
      </w:pPr>
    </w:p>
    <w:p w:rsidR="00541DBB" w:rsidRDefault="00F17DD1">
      <w:pPr>
        <w:ind w:firstLine="709"/>
      </w:pPr>
      <w:r>
        <w:t xml:space="preserve">Законом предусматривается введение в оборот договора жилищных сбережений, по которому банк будет принимать денежные средства от вкладчиков, выплачивать на них проценты и </w:t>
      </w:r>
      <w:r>
        <w:t>направлять по распоряжению вкладчика сумму сбережений (денежные средства и проценты на них) на оплату приобретаемого вкладчиком жилья или финансирование его участия в долевом или индивидуальном жилищном строительстве. Также банк обязуется предоставить кред</w:t>
      </w:r>
      <w:r>
        <w:t>ит на улучшение жилищных условий в случае соответствия вкладчика условиям, определяемым кредитной организацией при рассмотрении заявки на предоставление кредита.</w:t>
      </w:r>
    </w:p>
    <w:p w:rsidR="00541DBB" w:rsidRDefault="00F17DD1">
      <w:pPr>
        <w:ind w:firstLine="709"/>
      </w:pPr>
      <w:r>
        <w:t>Вкладчиком по договору жилищных сбережений может являться только физическое лицо. Срок привлеч</w:t>
      </w:r>
      <w:r>
        <w:t>ения денежных сре</w:t>
      </w:r>
      <w:proofErr w:type="gramStart"/>
      <w:r>
        <w:t>дств в р</w:t>
      </w:r>
      <w:proofErr w:type="gramEnd"/>
      <w:r>
        <w:t>амках договора жилищных сбережений не может быть менее трех лет. Предусматривается право вкладчика досрочно прекратить договор жилищных сбережений.</w:t>
      </w:r>
    </w:p>
    <w:p w:rsidR="00541DBB" w:rsidRDefault="00F17DD1">
      <w:pPr>
        <w:ind w:firstLine="709"/>
      </w:pPr>
      <w:r>
        <w:t>Проценты по договору жилищных сбережений начисляются и выплачиваются с периодичност</w:t>
      </w:r>
      <w:r>
        <w:t>ью и в порядке, которые установлены в соответствии с условиями такого договора. Начисленные проценты перечисляются на вклад, открытый на основании договора жилищных сбережений, и увеличивают сумму такого вклада. Определено, что условия договора жилищных сб</w:t>
      </w:r>
      <w:r>
        <w:t>ережений должны предусматривать возможность пополнения вклада в любое время.</w:t>
      </w:r>
    </w:p>
    <w:p w:rsidR="00541DBB" w:rsidRDefault="00F17DD1">
      <w:pPr>
        <w:ind w:firstLine="709"/>
      </w:pPr>
      <w:r>
        <w:t>Законом также закрепляются особенности страхования денежных средств, размещенных на основании договора жилищных сбережений. Так, страховое возмещение по такому договору выплачивае</w:t>
      </w:r>
      <w:r>
        <w:t xml:space="preserve">тся вкладчику в размере 100 процентов суммы вклада на день наступления страхового случая, но не более 10 </w:t>
      </w:r>
      <w:proofErr w:type="spellStart"/>
      <w:proofErr w:type="gramStart"/>
      <w:r>
        <w:t>млн</w:t>
      </w:r>
      <w:proofErr w:type="spellEnd"/>
      <w:proofErr w:type="gramEnd"/>
      <w:r>
        <w:t xml:space="preserve"> рублей. Страховое возмещение по договорам жилищных сбережений выплачивается отдельно от возмещения по иным вкладам. В случае, если вкладчик имеет н</w:t>
      </w:r>
      <w:r>
        <w:t xml:space="preserve">есколько вкладов по договорам жилищных сбережений в одном банке, суммарный размер обязательств которого по таким вкладам превышает 10 </w:t>
      </w:r>
      <w:proofErr w:type="spellStart"/>
      <w:proofErr w:type="gramStart"/>
      <w:r>
        <w:t>млн</w:t>
      </w:r>
      <w:proofErr w:type="spellEnd"/>
      <w:proofErr w:type="gramEnd"/>
      <w:r>
        <w:t xml:space="preserve"> рублей, страховое возмещение выплачивается по каждому из этих вкладов пропорционально их размерам, но не более 10 </w:t>
      </w:r>
      <w:proofErr w:type="spellStart"/>
      <w:r>
        <w:t>млн</w:t>
      </w:r>
      <w:proofErr w:type="spellEnd"/>
      <w:r>
        <w:t xml:space="preserve"> </w:t>
      </w:r>
      <w:r>
        <w:t>рублей в совокупности.</w:t>
      </w:r>
    </w:p>
    <w:p w:rsidR="00541DBB" w:rsidRDefault="00F17DD1">
      <w:pPr>
        <w:ind w:firstLine="709"/>
      </w:pPr>
      <w:r>
        <w:t>Закон вступит в силу с 1 января 2027 года.</w:t>
      </w:r>
    </w:p>
    <w:p w:rsidR="00541DBB" w:rsidRDefault="00F17DD1">
      <w:pPr>
        <w:ind w:firstLine="709"/>
      </w:pPr>
      <w:r>
        <w:t>Основание: Проект Федерального закона N 461846-8 "О внесении изменений в отдельные законодательные акты Российской Федерации" (о стимулировании жилищных сбережений граждан) (те</w:t>
      </w:r>
      <w:proofErr w:type="gramStart"/>
      <w:r>
        <w:t>кст пр</w:t>
      </w:r>
      <w:proofErr w:type="gramEnd"/>
      <w:r>
        <w:t xml:space="preserve">инятого </w:t>
      </w:r>
      <w:r>
        <w:t>закона, направляемого в СФ ФС РФ).</w:t>
      </w:r>
    </w:p>
    <w:p w:rsidR="00541DBB" w:rsidRDefault="00541DBB">
      <w:pPr>
        <w:spacing w:before="168"/>
      </w:pPr>
    </w:p>
    <w:p w:rsidR="00541DBB" w:rsidRDefault="00541DBB"/>
    <w:p w:rsidR="00541DBB" w:rsidRDefault="00541DBB">
      <w:pPr>
        <w:ind w:firstLine="709"/>
        <w:rPr>
          <w:rFonts w:ascii="Times New Roman" w:hAnsi="Times New Roman"/>
        </w:rPr>
      </w:pPr>
    </w:p>
    <w:p w:rsidR="00541DBB" w:rsidRDefault="00541DBB"/>
    <w:p w:rsidR="00541DBB" w:rsidRDefault="00541DBB"/>
    <w:p w:rsidR="00541DBB" w:rsidRDefault="00541DBB">
      <w:pPr>
        <w:ind w:firstLine="709"/>
        <w:rPr>
          <w:rFonts w:ascii="Times New Roman" w:hAnsi="Times New Roman"/>
        </w:rPr>
      </w:pPr>
    </w:p>
    <w:sectPr w:rsidR="00541DBB" w:rsidSect="00541DBB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E43F1"/>
    <w:multiLevelType w:val="multilevel"/>
    <w:tmpl w:val="111A648C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1DBB"/>
    <w:rsid w:val="00541DBB"/>
    <w:rsid w:val="00F17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41DBB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541DBB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541DBB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541DBB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541DBB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541DBB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41DBB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541DBB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541DB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41DBB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541DB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41DBB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541DB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41DBB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541DBB"/>
    <w:rPr>
      <w:rFonts w:ascii="XO Thames" w:hAnsi="XO Thames"/>
      <w:sz w:val="28"/>
    </w:rPr>
  </w:style>
  <w:style w:type="paragraph" w:customStyle="1" w:styleId="Endnote">
    <w:name w:val="Endnote"/>
    <w:link w:val="Endnote0"/>
    <w:rsid w:val="00541DBB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541DB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41DB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41DBB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541DB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41DB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41DBB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41DBB"/>
    <w:rPr>
      <w:color w:val="0000FF"/>
      <w:u w:val="single"/>
    </w:rPr>
  </w:style>
  <w:style w:type="character" w:styleId="a3">
    <w:name w:val="Hyperlink"/>
    <w:link w:val="12"/>
    <w:rsid w:val="00541DBB"/>
    <w:rPr>
      <w:color w:val="0000FF"/>
      <w:u w:val="single"/>
    </w:rPr>
  </w:style>
  <w:style w:type="paragraph" w:customStyle="1" w:styleId="Footnote">
    <w:name w:val="Footnote"/>
    <w:link w:val="Footnote0"/>
    <w:rsid w:val="00541DBB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541DB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41DBB"/>
    <w:rPr>
      <w:b/>
      <w:sz w:val="28"/>
    </w:rPr>
  </w:style>
  <w:style w:type="character" w:customStyle="1" w:styleId="14">
    <w:name w:val="Оглавление 1 Знак"/>
    <w:link w:val="13"/>
    <w:rsid w:val="00541DB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41DBB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541DB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41DBB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541DB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41DBB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541DB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41DBB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541DB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41DBB"/>
    <w:pPr>
      <w:jc w:val="both"/>
    </w:pPr>
    <w:rPr>
      <w:i/>
    </w:rPr>
  </w:style>
  <w:style w:type="character" w:customStyle="1" w:styleId="a5">
    <w:name w:val="Подзаголовок Знак"/>
    <w:link w:val="a4"/>
    <w:rsid w:val="00541DB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41DBB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541DB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41DB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41DBB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1433</Words>
  <Characters>8174</Characters>
  <Application>Microsoft Office Word</Application>
  <DocSecurity>0</DocSecurity>
  <Lines>68</Lines>
  <Paragraphs>19</Paragraphs>
  <ScaleCrop>false</ScaleCrop>
  <Company>Microsoft</Company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2026-06-27T08:08:00Z</dcterms:created>
  <dcterms:modified xsi:type="dcterms:W3CDTF">2026-06-29T06:19:00Z</dcterms:modified>
</cp:coreProperties>
</file>